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2F4444">
        <w:rPr>
          <w:rFonts w:asciiTheme="majorHAnsi" w:hAnsiTheme="majorHAnsi" w:cs="Arial"/>
          <w:sz w:val="22"/>
          <w:szCs w:val="22"/>
          <w:lang w:val="pl-PL"/>
        </w:rPr>
        <w:t>4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DD0A04">
        <w:rPr>
          <w:rFonts w:asciiTheme="majorHAnsi" w:hAnsiTheme="majorHAnsi" w:cs="Arial"/>
          <w:sz w:val="22"/>
          <w:szCs w:val="22"/>
          <w:lang w:val="pl-PL"/>
        </w:rPr>
        <w:t>siječnja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i 98/19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DD0A04" w:rsidRDefault="00DD0A04" w:rsidP="00DD0A04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>
        <w:rPr>
          <w:rFonts w:asciiTheme="majorHAnsi" w:hAnsiTheme="majorHAnsi" w:cs="Arial"/>
          <w:b/>
          <w:sz w:val="22"/>
          <w:szCs w:val="22"/>
        </w:rPr>
        <w:t xml:space="preserve">  </w:t>
      </w:r>
      <w:r w:rsidR="002F4444">
        <w:rPr>
          <w:rFonts w:asciiTheme="majorHAnsi" w:hAnsiTheme="majorHAnsi" w:cs="Arial"/>
          <w:b/>
          <w:sz w:val="22"/>
          <w:szCs w:val="22"/>
        </w:rPr>
        <w:t>psihologije</w:t>
      </w:r>
      <w:r w:rsidR="00567DFC" w:rsidRPr="00DD0A0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DD0A0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DD0A0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8E2A54">
        <w:rPr>
          <w:rFonts w:asciiTheme="majorHAnsi" w:hAnsiTheme="majorHAnsi" w:cs="Arial"/>
          <w:b/>
          <w:sz w:val="22"/>
          <w:szCs w:val="22"/>
        </w:rPr>
        <w:t>ne</w:t>
      </w:r>
      <w:r w:rsidR="00C33137" w:rsidRPr="00DD0A0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DD0A0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DD0A0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2F4444">
        <w:rPr>
          <w:rFonts w:asciiTheme="majorHAnsi" w:hAnsiTheme="majorHAnsi" w:cs="Arial"/>
          <w:b/>
          <w:sz w:val="22"/>
          <w:szCs w:val="22"/>
        </w:rPr>
        <w:t>7,5</w:t>
      </w:r>
      <w:r w:rsidR="009E7A19" w:rsidRPr="00DD0A04">
        <w:rPr>
          <w:rFonts w:asciiTheme="majorHAnsi" w:hAnsiTheme="majorHAnsi" w:cs="Arial"/>
          <w:b/>
          <w:sz w:val="22"/>
          <w:szCs w:val="22"/>
        </w:rPr>
        <w:t xml:space="preserve"> sati tjedno</w:t>
      </w:r>
      <w:r w:rsidR="008E2A54">
        <w:rPr>
          <w:rFonts w:asciiTheme="majorHAnsi" w:hAnsiTheme="majorHAnsi" w:cs="Arial"/>
          <w:b/>
          <w:sz w:val="22"/>
          <w:szCs w:val="22"/>
        </w:rPr>
        <w:t xml:space="preserve"> (zamjena za bolovanje)</w:t>
      </w:r>
      <w:bookmarkStart w:id="0" w:name="_GoBack"/>
      <w:bookmarkEnd w:id="0"/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8E2A54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siječnja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2F4444">
        <w:rPr>
          <w:rFonts w:asciiTheme="majorHAnsi" w:hAnsiTheme="majorHAnsi" w:cs="Arial"/>
          <w:b/>
          <w:sz w:val="22"/>
          <w:szCs w:val="22"/>
        </w:rPr>
        <w:t>psihologije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siječnja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13146"/>
    <w:rsid w:val="0089210D"/>
    <w:rsid w:val="008E2A54"/>
    <w:rsid w:val="008F52A5"/>
    <w:rsid w:val="00952AB5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C75A90"/>
    <w:rsid w:val="00D63D9A"/>
    <w:rsid w:val="00DD0A04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608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4</cp:revision>
  <cp:lastPrinted>2020-01-20T12:41:00Z</cp:lastPrinted>
  <dcterms:created xsi:type="dcterms:W3CDTF">2020-01-20T12:40:00Z</dcterms:created>
  <dcterms:modified xsi:type="dcterms:W3CDTF">2020-01-20T12:42:00Z</dcterms:modified>
</cp:coreProperties>
</file>